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F" w:rsidRPr="00367440" w:rsidRDefault="000B42AF" w:rsidP="000B42AF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24"/>
          <w:szCs w:val="24"/>
          <w:u w:val="single"/>
          <w:lang w:val="fr-FR" w:eastAsia="fr-BE"/>
        </w:rPr>
      </w:pPr>
      <w:proofErr w:type="spellStart"/>
      <w:r w:rsidRPr="000B42AF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Nuovo</w:t>
      </w:r>
      <w:proofErr w:type="spellEnd"/>
      <w:r w:rsidRPr="000B42AF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 Smart</w:t>
      </w:r>
    </w:p>
    <w:p w:rsidR="000B42AF" w:rsidRPr="000B42AF" w:rsidRDefault="000B42AF" w:rsidP="000B42A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fr-FR" w:eastAsia="fr-BE"/>
        </w:rPr>
      </w:pP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C’est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four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aux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caractéristiques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simples et au design propre. Il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produit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seule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dimension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avec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chambre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cm 80x45. Les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parois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sont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recouvertes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vernis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poudre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extrêmement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résistant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couleur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ocre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toit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disponible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couleurs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ocre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ou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L’intérieur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du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four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doté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toute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technologie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Clementi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caractéristique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très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importante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du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four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celle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maintenir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chaleur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longtemps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même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feu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éteint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grâce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la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présence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chambre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double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couche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matériau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réfractaire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épais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5 cm et,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chambre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combustion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plaque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brise flamme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épaisse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10 mm (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volant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thermique</w:t>
      </w:r>
      <w:proofErr w:type="spellEnd"/>
      <w:r w:rsidRPr="000B42AF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).</w:t>
      </w:r>
    </w:p>
    <w:p w:rsidR="000B42AF" w:rsidRPr="000B42AF" w:rsidRDefault="000B42AF" w:rsidP="000B42A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fr-FR" w:eastAsia="fr-BE"/>
        </w:rPr>
      </w:pPr>
      <w:r w:rsidRPr="000B42AF">
        <w:rPr>
          <w:rFonts w:ascii="Times New Roman" w:eastAsia="Times New Roman" w:hAnsi="Times New Roman" w:cs="Times New Roman"/>
          <w:color w:val="6E6E6E"/>
          <w:sz w:val="24"/>
          <w:szCs w:val="24"/>
          <w:lang w:val="fr-FR" w:eastAsia="fr-BE"/>
        </w:rPr>
        <w:t> </w:t>
      </w:r>
    </w:p>
    <w:p w:rsidR="000B42AF" w:rsidRPr="000B42AF" w:rsidRDefault="000B42AF" w:rsidP="000B42AF">
      <w:pPr>
        <w:spacing w:after="15" w:line="300" w:lineRule="atLeast"/>
        <w:jc w:val="both"/>
        <w:rPr>
          <w:rFonts w:ascii="Helvetica" w:eastAsia="Times New Roman" w:hAnsi="Helvetica" w:cs="Helvetica"/>
          <w:color w:val="6E6E6E"/>
          <w:sz w:val="20"/>
          <w:szCs w:val="20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2059"/>
        <w:gridCol w:w="3706"/>
      </w:tblGrid>
      <w:tr w:rsidR="000B42AF" w:rsidRPr="000B42AF" w:rsidTr="000B42AF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LBL_ARTICOLI_CODICI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LBL_COLORE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LBL_CAMERA_COTTURA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FECON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Tetto</w:t>
            </w:r>
            <w:proofErr w:type="spellEnd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senape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80x45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FECONTX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Tetto</w:t>
            </w:r>
            <w:proofErr w:type="spellEnd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inox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80x45</w:t>
            </w:r>
          </w:p>
        </w:tc>
      </w:tr>
    </w:tbl>
    <w:p w:rsidR="0094704A" w:rsidRDefault="0094704A"/>
    <w:p w:rsidR="000B42AF" w:rsidRPr="000B42AF" w:rsidRDefault="000B42AF">
      <w:pPr>
        <w:rPr>
          <w:b/>
          <w:sz w:val="28"/>
          <w:szCs w:val="28"/>
          <w:u w:val="single"/>
        </w:rPr>
      </w:pPr>
      <w:r w:rsidRPr="000B42AF">
        <w:rPr>
          <w:b/>
          <w:sz w:val="28"/>
          <w:szCs w:val="28"/>
          <w:u w:val="single"/>
        </w:rPr>
        <w:t>CARACTERISTIQUES TECHNIQUES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4"/>
        <w:gridCol w:w="3156"/>
      </w:tblGrid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Ventilation-vitesse pour environnement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Smart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Plans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3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Chambre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Inox 430, </w:t>
            </w:r>
            <w:proofErr w:type="spellStart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semismontabile</w:t>
            </w:r>
            <w:proofErr w:type="spellEnd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antitaglio</w:t>
            </w:r>
            <w:proofErr w:type="spellEnd"/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LEGNA_PER_RAGGIUNGERE_300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5/7 kg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Bois nécessaire par heure pour le maintien de la température (Kg)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 kg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constante du four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 ore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8 heures après l’extinction (°C)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100°C</w:t>
            </w:r>
          </w:p>
        </w:tc>
      </w:tr>
      <w:tr w:rsidR="000B42AF" w:rsidRPr="000B42AF" w:rsidTr="000B42A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 mesuré à 13% O2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42AF" w:rsidRPr="000B42AF" w:rsidRDefault="000B42AF" w:rsidP="000B42AF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0B42AF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min. 0,17 / max 0,32</w:t>
            </w:r>
          </w:p>
        </w:tc>
      </w:tr>
    </w:tbl>
    <w:p w:rsidR="000B42AF" w:rsidRDefault="00367440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403B7C9" wp14:editId="1DAE3E70">
            <wp:simplePos x="0" y="0"/>
            <wp:positionH relativeFrom="column">
              <wp:posOffset>1404620</wp:posOffset>
            </wp:positionH>
            <wp:positionV relativeFrom="paragraph">
              <wp:posOffset>38100</wp:posOffset>
            </wp:positionV>
            <wp:extent cx="2895600" cy="33299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SM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AF" w:rsidRDefault="000B42AF">
      <w:r>
        <w:rPr>
          <w:rFonts w:ascii="Helvetica" w:hAnsi="Helvetica" w:cs="Helvetica"/>
          <w:noProof/>
          <w:color w:val="6E6E6E"/>
          <w:sz w:val="20"/>
          <w:szCs w:val="20"/>
          <w:lang w:eastAsia="fr-BE"/>
        </w:rPr>
        <w:lastRenderedPageBreak/>
        <w:drawing>
          <wp:inline distT="0" distB="0" distL="0" distR="0" wp14:anchorId="4D76BAAA" wp14:editId="0C525C52">
            <wp:extent cx="5715000" cy="9001125"/>
            <wp:effectExtent l="0" t="0" r="0" b="9525"/>
            <wp:docPr id="1" name="Image 1" descr="FILE_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ISEG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2AF" w:rsidSect="003674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923"/>
    <w:multiLevelType w:val="multilevel"/>
    <w:tmpl w:val="4B0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4D7C"/>
    <w:multiLevelType w:val="multilevel"/>
    <w:tmpl w:val="BA0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AF"/>
    <w:rsid w:val="000B42AF"/>
    <w:rsid w:val="00367440"/>
    <w:rsid w:val="0094704A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3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5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4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62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4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60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0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2</cp:revision>
  <dcterms:created xsi:type="dcterms:W3CDTF">2014-03-20T09:21:00Z</dcterms:created>
  <dcterms:modified xsi:type="dcterms:W3CDTF">2014-03-20T15:20:00Z</dcterms:modified>
</cp:coreProperties>
</file>